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359E" w:rsidP="1DBD47D6" w:rsidRDefault="5DB5ADC2" w14:paraId="2C078E63" w14:textId="47FFDE70">
      <w:pPr>
        <w:jc w:val="center"/>
        <w:rPr>
          <w:b/>
          <w:bCs/>
          <w:sz w:val="24"/>
          <w:szCs w:val="24"/>
        </w:rPr>
      </w:pPr>
      <w:r w:rsidRPr="1DBD47D6">
        <w:rPr>
          <w:b/>
          <w:bCs/>
          <w:sz w:val="24"/>
          <w:szCs w:val="24"/>
        </w:rPr>
        <w:t>GFC Agenda</w:t>
      </w:r>
    </w:p>
    <w:p w:rsidR="5DB5ADC2" w:rsidP="1DBD47D6" w:rsidRDefault="002269E3" w14:paraId="7ED42989" w14:textId="2FC9C145">
      <w:pPr>
        <w:jc w:val="center"/>
      </w:pPr>
      <w:r>
        <w:t xml:space="preserve">October </w:t>
      </w:r>
      <w:r w:rsidR="00C170A8">
        <w:t>17</w:t>
      </w:r>
      <w:r w:rsidR="5DB5ADC2">
        <w:t>, 2022</w:t>
      </w:r>
    </w:p>
    <w:p w:rsidR="00491FF8" w:rsidP="00A02F06" w:rsidRDefault="002636BA" w14:paraId="6A0848CF" w14:textId="12350A4E">
      <w:pPr>
        <w:spacing w:after="0" w:line="240" w:lineRule="auto"/>
        <w:jc w:val="center"/>
      </w:pPr>
      <w:r>
        <w:t>3:00- 4:30 p.m. ET</w:t>
      </w:r>
    </w:p>
    <w:p w:rsidR="002636BA" w:rsidP="00A02F06" w:rsidRDefault="00A02F06" w14:paraId="17D91D0B" w14:textId="60DB8B2B">
      <w:pPr>
        <w:spacing w:after="0" w:line="240" w:lineRule="auto"/>
        <w:jc w:val="center"/>
      </w:pPr>
      <w:hyperlink w:history="1" r:id="rId5">
        <w:r w:rsidRPr="00A02F06">
          <w:rPr>
            <w:rStyle w:val="Hyperlink"/>
          </w:rPr>
          <w:t>https://iu.zoom.us/s/84587146833?pwd=VEVHblFDcmJzQ3JCRWdzdEw2bWdlUT09</w:t>
        </w:r>
      </w:hyperlink>
    </w:p>
    <w:p w:rsidR="1DBD47D6" w:rsidP="1DBD47D6" w:rsidRDefault="1DBD47D6" w14:paraId="5064A173" w14:textId="507222EF"/>
    <w:p w:rsidR="5DB5ADC2" w:rsidP="1DBD47D6" w:rsidRDefault="5DB5ADC2" w14:paraId="29A3E176" w14:textId="5EF5AEE2">
      <w:pPr>
        <w:pStyle w:val="ListParagraph"/>
        <w:numPr>
          <w:ilvl w:val="0"/>
          <w:numId w:val="1"/>
        </w:numPr>
        <w:rPr>
          <w:rFonts w:eastAsiaTheme="minorEastAsia"/>
        </w:rPr>
      </w:pPr>
      <w:r>
        <w:t>Introductions</w:t>
      </w:r>
    </w:p>
    <w:p w:rsidR="5DB5ADC2" w:rsidP="54B858B4" w:rsidRDefault="5DB5ADC2" w14:paraId="6528D890" w14:textId="07D56CBF">
      <w:pPr>
        <w:pStyle w:val="ListParagraph"/>
        <w:numPr>
          <w:ilvl w:val="0"/>
          <w:numId w:val="1"/>
        </w:numPr>
        <w:rPr>
          <w:rFonts w:eastAsia="" w:eastAsiaTheme="minorEastAsia"/>
        </w:rPr>
      </w:pPr>
      <w:r w:rsidR="5DB5ADC2">
        <w:rPr/>
        <w:t xml:space="preserve">Approval of minutes from GFC meeting on </w:t>
      </w:r>
      <w:r w:rsidR="002269E3">
        <w:rPr/>
        <w:t>September</w:t>
      </w:r>
      <w:r w:rsidR="5DB5ADC2">
        <w:rPr/>
        <w:t xml:space="preserve"> </w:t>
      </w:r>
      <w:r w:rsidR="2E963F77">
        <w:rPr/>
        <w:t>1</w:t>
      </w:r>
      <w:r w:rsidR="002269E3">
        <w:rPr/>
        <w:t>9</w:t>
      </w:r>
      <w:proofErr w:type="gramStart"/>
      <w:r w:rsidR="5DB5ADC2">
        <w:rPr/>
        <w:t xml:space="preserve"> 2022</w:t>
      </w:r>
      <w:proofErr w:type="gramEnd"/>
      <w:r w:rsidR="4B8F13E9">
        <w:rPr/>
        <w:t xml:space="preserve"> </w:t>
      </w:r>
      <w:r w:rsidR="00FD5F1C">
        <w:rPr/>
        <w:t>(</w:t>
      </w:r>
      <w:hyperlink r:id="R242cdfbaa805433f">
        <w:r w:rsidRPr="54B858B4" w:rsidR="3D697542">
          <w:rPr>
            <w:rStyle w:val="Hyperlink"/>
          </w:rPr>
          <w:t>Link to minutes</w:t>
        </w:r>
      </w:hyperlink>
      <w:r w:rsidR="4B8F13E9">
        <w:rPr/>
        <w:t>)</w:t>
      </w:r>
    </w:p>
    <w:p w:rsidR="5DB5ADC2" w:rsidP="1DBD47D6" w:rsidRDefault="5DB5ADC2" w14:paraId="748D8868" w14:textId="203CAAF1">
      <w:pPr>
        <w:pStyle w:val="ListParagraph"/>
        <w:numPr>
          <w:ilvl w:val="0"/>
          <w:numId w:val="1"/>
        </w:numPr>
        <w:rPr/>
      </w:pPr>
      <w:r w:rsidR="5DB5ADC2">
        <w:rPr/>
        <w:t>Changes in University Graduate School Structure</w:t>
      </w:r>
      <w:r w:rsidR="00AA50AB">
        <w:rPr/>
        <w:t xml:space="preserve"> update</w:t>
      </w:r>
      <w:r w:rsidR="1D2971A5">
        <w:rPr/>
        <w:t xml:space="preserve"> (DD, JB, SS-G</w:t>
      </w:r>
      <w:r w:rsidR="7C7BE43D">
        <w:rPr/>
        <w:t>)</w:t>
      </w:r>
      <w:r w:rsidR="37469B88">
        <w:rPr/>
        <w:t xml:space="preserve"> </w:t>
      </w:r>
      <w:r w:rsidRPr="54B858B4" w:rsidR="37469B88">
        <w:rPr>
          <w:i w:val="1"/>
          <w:iCs w:val="1"/>
        </w:rPr>
        <w:t>(Initials indicate presenters</w:t>
      </w:r>
      <w:r w:rsidRPr="54B858B4" w:rsidR="7A18E344">
        <w:rPr>
          <w:i w:val="1"/>
          <w:iCs w:val="1"/>
        </w:rPr>
        <w:t xml:space="preserve"> / discussion facilitators</w:t>
      </w:r>
      <w:r w:rsidRPr="54B858B4" w:rsidR="37469B88">
        <w:rPr>
          <w:i w:val="1"/>
          <w:iCs w:val="1"/>
        </w:rPr>
        <w:t>)</w:t>
      </w:r>
      <w:r w:rsidR="37469B88">
        <w:rPr/>
        <w:t>.</w:t>
      </w:r>
    </w:p>
    <w:p w:rsidR="5DB5ADC2" w:rsidP="1DBD47D6" w:rsidRDefault="5DB5ADC2" w14:paraId="7EFEB359" w14:textId="7D6FE936">
      <w:pPr>
        <w:pStyle w:val="ListParagraph"/>
        <w:numPr>
          <w:ilvl w:val="0"/>
          <w:numId w:val="1"/>
        </w:numPr>
        <w:rPr>
          <w:rFonts w:eastAsiaTheme="minorEastAsia"/>
        </w:rPr>
      </w:pPr>
      <w:r w:rsidR="5DB5ADC2">
        <w:rPr/>
        <w:t>Campus/Regional-specific Updates from the Deans / VP</w:t>
      </w:r>
      <w:r w:rsidR="00A946C9">
        <w:rPr/>
        <w:t xml:space="preserve"> ((DD, JB, SS-G)</w:t>
      </w:r>
    </w:p>
    <w:p w:rsidR="5DB5ADC2" w:rsidP="1DBD47D6" w:rsidRDefault="00AA50AB" w14:paraId="79F7A0F4" w14:textId="5B39F98E">
      <w:pPr>
        <w:pStyle w:val="ListParagraph"/>
        <w:numPr>
          <w:ilvl w:val="0"/>
          <w:numId w:val="1"/>
        </w:numPr>
        <w:rPr/>
      </w:pPr>
      <w:r w:rsidR="00AA50AB">
        <w:rPr/>
        <w:t>Committee Update</w:t>
      </w:r>
      <w:r w:rsidR="005C42E7">
        <w:rPr/>
        <w:t>s</w:t>
      </w:r>
    </w:p>
    <w:p w:rsidR="5DB5ADC2" w:rsidP="1DBD47D6" w:rsidRDefault="00AA50AB" w14:paraId="2B365FEE" w14:textId="6B054D30">
      <w:pPr>
        <w:pStyle w:val="ListParagraph"/>
        <w:numPr>
          <w:ilvl w:val="1"/>
          <w:numId w:val="1"/>
        </w:numPr>
        <w:rPr/>
      </w:pPr>
      <w:r w:rsidR="00AA50AB">
        <w:rPr/>
        <w:t>APC</w:t>
      </w:r>
    </w:p>
    <w:p w:rsidR="2E48D4C2" w:rsidP="005C42E7" w:rsidRDefault="00CC0C57" w14:paraId="0D27B941" w14:textId="0A967026">
      <w:pPr>
        <w:pStyle w:val="ListParagraph"/>
        <w:numPr>
          <w:ilvl w:val="2"/>
          <w:numId w:val="1"/>
        </w:numPr>
        <w:rPr/>
      </w:pPr>
      <w:r w:rsidR="00CC0C57">
        <w:rPr/>
        <w:t>W grade</w:t>
      </w:r>
      <w:r w:rsidR="52621044">
        <w:rPr/>
        <w:t xml:space="preserve"> (</w:t>
      </w:r>
      <w:r w:rsidR="418F087A">
        <w:rPr/>
        <w:t xml:space="preserve">RF; </w:t>
      </w:r>
      <w:r w:rsidR="52621044">
        <w:rPr/>
        <w:t>see Appendix</w:t>
      </w:r>
      <w:r w:rsidR="13E2D884">
        <w:rPr/>
        <w:t xml:space="preserve"> 1</w:t>
      </w:r>
      <w:r w:rsidR="52621044">
        <w:rPr/>
        <w:t>, below)</w:t>
      </w:r>
    </w:p>
    <w:p w:rsidR="2E48D4C2" w:rsidP="1DBD47D6" w:rsidRDefault="00AA50AB" w14:paraId="02E81B75" w14:textId="54341F0F">
      <w:pPr>
        <w:pStyle w:val="ListParagraph"/>
        <w:numPr>
          <w:ilvl w:val="1"/>
          <w:numId w:val="1"/>
        </w:numPr>
        <w:rPr/>
      </w:pPr>
      <w:r w:rsidR="00AA50AB">
        <w:rPr/>
        <w:t>Awards</w:t>
      </w:r>
    </w:p>
    <w:p w:rsidR="2E48D4C2" w:rsidP="1DBD47D6" w:rsidRDefault="00CC0C57" w14:paraId="28091424" w14:textId="6A5D9684">
      <w:pPr>
        <w:pStyle w:val="ListParagraph"/>
        <w:numPr>
          <w:ilvl w:val="2"/>
          <w:numId w:val="1"/>
        </w:numPr>
        <w:rPr/>
      </w:pPr>
      <w:r w:rsidR="00CC0C57">
        <w:rPr/>
        <w:t>Update</w:t>
      </w:r>
      <w:r w:rsidR="22E208C7">
        <w:rPr/>
        <w:t xml:space="preserve"> (SK)</w:t>
      </w:r>
    </w:p>
    <w:p w:rsidR="60C2E649" w:rsidP="1DBD47D6" w:rsidRDefault="005C42E7" w14:paraId="2ED029CB" w14:textId="533328C3">
      <w:pPr>
        <w:pStyle w:val="ListParagraph"/>
        <w:numPr>
          <w:ilvl w:val="1"/>
          <w:numId w:val="1"/>
        </w:numPr>
        <w:rPr/>
      </w:pPr>
      <w:r w:rsidR="005C42E7">
        <w:rPr/>
        <w:t xml:space="preserve">November: DEI, GIC, </w:t>
      </w:r>
      <w:r w:rsidR="1795202A">
        <w:rPr/>
        <w:t xml:space="preserve">Online Collaborative Programs </w:t>
      </w:r>
      <w:r w:rsidR="005C42E7">
        <w:rPr/>
        <w:t>Task Force</w:t>
      </w:r>
    </w:p>
    <w:p w:rsidR="00B13CD9" w:rsidP="00F25406" w:rsidRDefault="00B13CD9" w14:paraId="6F76712E" w14:textId="03ED68CD">
      <w:pPr>
        <w:pStyle w:val="ListParagraph"/>
        <w:numPr>
          <w:ilvl w:val="0"/>
          <w:numId w:val="1"/>
        </w:numPr>
        <w:rPr/>
      </w:pPr>
      <w:r w:rsidR="00B13CD9">
        <w:rPr/>
        <w:t>Strategic Planning</w:t>
      </w:r>
    </w:p>
    <w:p w:rsidR="00B13CD9" w:rsidP="00B13CD9" w:rsidRDefault="00B13CD9" w14:paraId="3154923A" w14:textId="24CAAF4A">
      <w:pPr>
        <w:pStyle w:val="ListParagraph"/>
        <w:numPr>
          <w:ilvl w:val="0"/>
          <w:numId w:val="6"/>
        </w:numPr>
      </w:pPr>
      <w:r>
        <w:t>IUB (DD)</w:t>
      </w:r>
    </w:p>
    <w:p w:rsidR="00DF6351" w:rsidP="00B13CD9" w:rsidRDefault="00DF6351" w14:paraId="0EB367B1" w14:textId="65E8DBF7">
      <w:pPr>
        <w:pStyle w:val="ListParagraph"/>
        <w:numPr>
          <w:ilvl w:val="0"/>
          <w:numId w:val="6"/>
        </w:numPr>
      </w:pPr>
      <w:r>
        <w:t>IUPUI (JB)</w:t>
      </w:r>
    </w:p>
    <w:p w:rsidR="005660DE" w:rsidP="005660DE" w:rsidRDefault="005660DE" w14:paraId="314B8B71" w14:textId="30FBF5EB">
      <w:pPr>
        <w:pStyle w:val="ListParagraph"/>
        <w:numPr>
          <w:ilvl w:val="1"/>
          <w:numId w:val="6"/>
        </w:numPr>
      </w:pPr>
      <w:r>
        <w:t>Purdue Example (JB)</w:t>
      </w:r>
    </w:p>
    <w:p w:rsidR="00DF6351" w:rsidP="00B13CD9" w:rsidRDefault="00DF6351" w14:paraId="3C3264C6" w14:textId="3430CDBB">
      <w:pPr>
        <w:pStyle w:val="ListParagraph"/>
        <w:numPr>
          <w:ilvl w:val="0"/>
          <w:numId w:val="6"/>
        </w:numPr>
        <w:rPr/>
      </w:pPr>
      <w:r w:rsidR="00DF6351">
        <w:rPr/>
        <w:t>Regionals</w:t>
      </w:r>
      <w:r w:rsidR="00DF6351">
        <w:rPr/>
        <w:t xml:space="preserve"> (SS-G)</w:t>
      </w:r>
    </w:p>
    <w:p w:rsidR="00355C8E" w:rsidP="00B13CD9" w:rsidRDefault="00355C8E" w14:paraId="73ECE253" w14:textId="0EDEDA3A">
      <w:pPr>
        <w:pStyle w:val="ListParagraph"/>
        <w:numPr>
          <w:ilvl w:val="0"/>
          <w:numId w:val="6"/>
        </w:numPr>
      </w:pPr>
      <w:r>
        <w:t xml:space="preserve">Request </w:t>
      </w:r>
      <w:r w:rsidR="00917BC3">
        <w:t xml:space="preserve">for members re: </w:t>
      </w:r>
      <w:r w:rsidR="00E10CB9">
        <w:t xml:space="preserve">feedback from units on </w:t>
      </w:r>
      <w:r w:rsidR="00917BC3">
        <w:t>Strategic Planning progress (JB)</w:t>
      </w:r>
    </w:p>
    <w:p w:rsidR="00F25406" w:rsidP="00F25406" w:rsidRDefault="00F25406" w14:paraId="6572C0BD" w14:textId="3901E0BE">
      <w:pPr>
        <w:pStyle w:val="ListParagraph"/>
        <w:numPr>
          <w:ilvl w:val="0"/>
          <w:numId w:val="1"/>
        </w:numPr>
        <w:rPr/>
      </w:pPr>
      <w:r w:rsidR="00F25406">
        <w:rPr/>
        <w:t xml:space="preserve">Proposed Topic: </w:t>
      </w:r>
      <w:r w:rsidR="730AD49A">
        <w:rPr/>
        <w:t>Supporting and Funding Graduate Students</w:t>
      </w:r>
      <w:r w:rsidR="09D87285">
        <w:rPr/>
        <w:t xml:space="preserve"> (DH, AE, LM)</w:t>
      </w:r>
    </w:p>
    <w:p w:rsidR="00F25406" w:rsidP="005450B5" w:rsidRDefault="008B3049" w14:paraId="021D6CDE" w14:textId="7FEBBCA4">
      <w:pPr>
        <w:pStyle w:val="ListParagraph"/>
        <w:numPr>
          <w:ilvl w:val="0"/>
          <w:numId w:val="3"/>
        </w:numPr>
        <w:ind w:left="1440"/>
      </w:pPr>
      <w:r>
        <w:t>VPR</w:t>
      </w:r>
      <w:r w:rsidR="00F25406">
        <w:t xml:space="preserve"> changed policies, which are not clear, and we are concerned about implications for future graduate student support</w:t>
      </w:r>
    </w:p>
    <w:p w:rsidR="00471B1E" w:rsidP="00471B1E" w:rsidRDefault="00471B1E" w14:paraId="11B0DD16" w14:textId="0B530821">
      <w:pPr>
        <w:pStyle w:val="ListParagraph"/>
        <w:numPr>
          <w:ilvl w:val="1"/>
          <w:numId w:val="3"/>
        </w:numPr>
      </w:pPr>
      <w:r>
        <w:t>Grad Grant Center as one support program</w:t>
      </w:r>
    </w:p>
    <w:p w:rsidR="009F14FE" w:rsidP="00471B1E" w:rsidRDefault="009F14FE" w14:paraId="0B6B7FAE" w14:textId="04B0FA54">
      <w:pPr>
        <w:pStyle w:val="ListParagraph"/>
        <w:numPr>
          <w:ilvl w:val="1"/>
          <w:numId w:val="3"/>
        </w:numPr>
      </w:pPr>
      <w:r>
        <w:t xml:space="preserve">Changes in availability of </w:t>
      </w:r>
      <w:r w:rsidR="00A478AE">
        <w:t>student support funding</w:t>
      </w:r>
    </w:p>
    <w:p w:rsidR="00261638" w:rsidP="00471B1E" w:rsidRDefault="00261638" w14:paraId="14801DF1" w14:textId="575CD38B">
      <w:pPr>
        <w:pStyle w:val="ListParagraph"/>
        <w:numPr>
          <w:ilvl w:val="1"/>
          <w:numId w:val="3"/>
        </w:numPr>
      </w:pPr>
      <w:r>
        <w:t>IU UG Research Conference (recruitment strategy)</w:t>
      </w:r>
    </w:p>
    <w:p w:rsidR="00F25406" w:rsidP="005450B5" w:rsidRDefault="00F25406" w14:paraId="5551EA3F" w14:textId="4CC084C8">
      <w:pPr>
        <w:pStyle w:val="ListParagraph"/>
        <w:numPr>
          <w:ilvl w:val="0"/>
          <w:numId w:val="3"/>
        </w:numPr>
        <w:ind w:left="1440"/>
      </w:pPr>
      <w:r>
        <w:t xml:space="preserve">Possible committee assignment: </w:t>
      </w:r>
      <w:r>
        <w:t>GIC – Graduate Student Support and Funding</w:t>
      </w:r>
    </w:p>
    <w:p w:rsidR="00F25406" w:rsidP="005450B5" w:rsidRDefault="00F25406" w14:paraId="42945DBC" w14:textId="77777777">
      <w:pPr>
        <w:pStyle w:val="ListParagraph"/>
        <w:numPr>
          <w:ilvl w:val="0"/>
          <w:numId w:val="4"/>
        </w:numPr>
      </w:pPr>
      <w:r>
        <w:t xml:space="preserve">How do we better encourage grants to attract and support graduate </w:t>
      </w:r>
      <w:proofErr w:type="gramStart"/>
      <w:r>
        <w:t>students</w:t>
      </w:r>
      <w:proofErr w:type="gramEnd"/>
    </w:p>
    <w:p w:rsidR="00F25406" w:rsidP="005450B5" w:rsidRDefault="00F25406" w14:paraId="50DCCFE2" w14:textId="77777777">
      <w:pPr>
        <w:pStyle w:val="ListParagraph"/>
        <w:numPr>
          <w:ilvl w:val="0"/>
          <w:numId w:val="4"/>
        </w:numPr>
      </w:pPr>
      <w:r>
        <w:t xml:space="preserve">what are the new policies w </w:t>
      </w:r>
      <w:proofErr w:type="gramStart"/>
      <w:r>
        <w:t>grants</w:t>
      </w:r>
      <w:proofErr w:type="gramEnd"/>
    </w:p>
    <w:p w:rsidR="005C42E7" w:rsidP="005450B5" w:rsidRDefault="00F25406" w14:paraId="6ED51C0E" w14:textId="6B3799E8">
      <w:pPr>
        <w:pStyle w:val="ListParagraph"/>
        <w:numPr>
          <w:ilvl w:val="0"/>
          <w:numId w:val="4"/>
        </w:numPr>
      </w:pPr>
      <w:r>
        <w:t xml:space="preserve">How are faculty engaged in helping direct or providing input into these </w:t>
      </w:r>
      <w:proofErr w:type="gramStart"/>
      <w:r>
        <w:t>policies</w:t>
      </w:r>
      <w:proofErr w:type="gramEnd"/>
    </w:p>
    <w:p w:rsidR="1CB89E9A" w:rsidP="1DBD47D6" w:rsidRDefault="1CB89E9A" w14:paraId="1B48084F" w14:textId="74F29AA4">
      <w:pPr>
        <w:pStyle w:val="ListParagraph"/>
        <w:numPr>
          <w:ilvl w:val="0"/>
          <w:numId w:val="1"/>
        </w:numPr>
        <w:rPr/>
      </w:pPr>
      <w:r w:rsidR="1CB89E9A">
        <w:rPr/>
        <w:t>GFC Future – First open discussion</w:t>
      </w:r>
      <w:r w:rsidR="192479DC">
        <w:rPr/>
        <w:t xml:space="preserve"> (SH)</w:t>
      </w:r>
    </w:p>
    <w:p w:rsidR="00D12C9D" w:rsidP="00DE579D" w:rsidRDefault="00DE579D" w14:paraId="332AC3F3" w14:textId="22250DFD">
      <w:pPr>
        <w:pStyle w:val="ListParagraph"/>
        <w:numPr>
          <w:ilvl w:val="0"/>
          <w:numId w:val="5"/>
        </w:numPr>
      </w:pPr>
      <w:r>
        <w:t>Role of GFC for each GS</w:t>
      </w:r>
    </w:p>
    <w:p w:rsidR="4A93F1A7" w:rsidP="1DBD47D6" w:rsidRDefault="4A93F1A7" w14:paraId="58D6B567" w14:textId="526C9CB4">
      <w:pPr>
        <w:pStyle w:val="ListParagraph"/>
        <w:numPr>
          <w:ilvl w:val="0"/>
          <w:numId w:val="1"/>
        </w:numPr>
        <w:rPr/>
      </w:pPr>
      <w:r w:rsidR="4A93F1A7">
        <w:rPr/>
        <w:t>New business – Open call</w:t>
      </w:r>
    </w:p>
    <w:p w:rsidR="4A93F1A7" w:rsidP="1DBD47D6" w:rsidRDefault="4A93F1A7" w14:paraId="2F8C69B4" w14:textId="29E4D8E5">
      <w:pPr>
        <w:pStyle w:val="ListParagraph"/>
        <w:numPr>
          <w:ilvl w:val="0"/>
          <w:numId w:val="1"/>
        </w:numPr>
        <w:rPr/>
      </w:pPr>
      <w:r w:rsidR="4A93F1A7">
        <w:rPr/>
        <w:t>Adjournment</w:t>
      </w:r>
    </w:p>
    <w:p w:rsidR="1DBD47D6" w:rsidP="1DBD47D6" w:rsidRDefault="1DBD47D6" w14:paraId="684FE4A9" w14:textId="38B4D64B"/>
    <w:p w:rsidR="4A93F1A7" w:rsidP="1DBD47D6" w:rsidRDefault="4A93F1A7" w14:paraId="0DAF4B63" w14:textId="5D8E74D7">
      <w:r w:rsidR="4A93F1A7">
        <w:rPr/>
        <w:t xml:space="preserve">Next meeting </w:t>
      </w:r>
      <w:r w:rsidR="006D196B">
        <w:rPr/>
        <w:t>Novem</w:t>
      </w:r>
      <w:r w:rsidR="4A93F1A7">
        <w:rPr/>
        <w:t xml:space="preserve">ber </w:t>
      </w:r>
      <w:r w:rsidR="006D196B">
        <w:rPr/>
        <w:t>28</w:t>
      </w:r>
      <w:r w:rsidRPr="54B858B4" w:rsidR="4A93F1A7">
        <w:rPr>
          <w:vertAlign w:val="superscript"/>
        </w:rPr>
        <w:t>th</w:t>
      </w:r>
      <w:r w:rsidR="4A93F1A7">
        <w:rPr/>
        <w:t>, 2022</w:t>
      </w:r>
      <w:r w:rsidR="7B91400E">
        <w:rPr/>
        <w:t xml:space="preserve"> (Note – 4</w:t>
      </w:r>
      <w:r w:rsidRPr="54B858B4" w:rsidR="7B91400E">
        <w:rPr>
          <w:vertAlign w:val="superscript"/>
        </w:rPr>
        <w:t>th</w:t>
      </w:r>
      <w:r w:rsidR="7B91400E">
        <w:rPr/>
        <w:t xml:space="preserve"> Monday)</w:t>
      </w:r>
    </w:p>
    <w:p w:rsidR="54B858B4" w:rsidRDefault="54B858B4" w14:paraId="0CDEAB14" w14:textId="512D78D1">
      <w:r>
        <w:br w:type="page"/>
      </w:r>
    </w:p>
    <w:p w:rsidR="0E1D6D50" w:rsidP="54B858B4" w:rsidRDefault="0E1D6D50" w14:paraId="12FCBC58" w14:textId="1E3C2A5C">
      <w:pPr>
        <w:pStyle w:val="Normal"/>
      </w:pPr>
      <w:r w:rsidR="0E1D6D50">
        <w:rPr/>
        <w:t xml:space="preserve">Appendix 1: </w:t>
      </w:r>
      <w:r w:rsidR="4D6BF258">
        <w:rPr/>
        <w:t xml:space="preserve">Proposal </w:t>
      </w:r>
      <w:r w:rsidR="643D2395">
        <w:rPr/>
        <w:t xml:space="preserve">to the GFC </w:t>
      </w:r>
      <w:r w:rsidR="4D6BF258">
        <w:rPr/>
        <w:t>from the Academic Policy Committee (RF)</w:t>
      </w:r>
    </w:p>
    <w:p w:rsidR="3CB306C2" w:rsidP="54B858B4" w:rsidRDefault="3CB306C2" w14:paraId="7E596E5F" w14:textId="4DBE0E26">
      <w:pPr>
        <w:pStyle w:val="Normal"/>
        <w:ind w:left="0"/>
        <w:rPr>
          <w:rFonts w:ascii="Calibri" w:hAnsi="Calibri" w:eastAsia="Calibri" w:cs="Calibri"/>
          <w:i w:val="1"/>
          <w:iCs w:val="1"/>
          <w:noProof w:val="0"/>
          <w:color w:val="000000" w:themeColor="text1" w:themeTint="FF" w:themeShade="FF"/>
          <w:sz w:val="22"/>
          <w:szCs w:val="22"/>
          <w:lang w:val="en-US"/>
        </w:rPr>
      </w:pPr>
      <w:r w:rsidRPr="54B858B4" w:rsidR="3CB306C2">
        <w:rPr>
          <w:rFonts w:ascii="Calibri" w:hAnsi="Calibri" w:eastAsia="Calibri" w:cs="Calibri"/>
          <w:i w:val="1"/>
          <w:iCs w:val="1"/>
          <w:noProof w:val="0"/>
          <w:color w:val="000000" w:themeColor="text1" w:themeTint="FF" w:themeShade="FF"/>
          <w:sz w:val="22"/>
          <w:szCs w:val="22"/>
          <w:lang w:val="en-US"/>
        </w:rPr>
        <w:t>W grade</w:t>
      </w:r>
    </w:p>
    <w:p w:rsidR="07A0E69A" w:rsidP="54B858B4" w:rsidRDefault="07A0E69A" w14:paraId="7EC3CFBA" w14:textId="366D8996">
      <w:pPr>
        <w:pStyle w:val="Normal"/>
        <w:ind w:left="0"/>
        <w:rPr>
          <w:rFonts w:ascii="Calibri" w:hAnsi="Calibri" w:eastAsia="Calibri" w:cs="Calibri"/>
          <w:b w:val="1"/>
          <w:bCs w:val="1"/>
          <w:i w:val="1"/>
          <w:iCs w:val="1"/>
          <w:noProof w:val="0"/>
          <w:sz w:val="22"/>
          <w:szCs w:val="22"/>
          <w:lang w:val="en-US"/>
        </w:rPr>
      </w:pPr>
      <w:r w:rsidRPr="54B858B4" w:rsidR="07A0E69A">
        <w:rPr>
          <w:rFonts w:ascii="Calibri" w:hAnsi="Calibri" w:eastAsia="Calibri" w:cs="Calibri"/>
          <w:b w:val="1"/>
          <w:bCs w:val="1"/>
          <w:i w:val="1"/>
          <w:iCs w:val="1"/>
          <w:noProof w:val="0"/>
          <w:color w:val="000000" w:themeColor="text1" w:themeTint="FF" w:themeShade="FF"/>
          <w:sz w:val="22"/>
          <w:szCs w:val="22"/>
          <w:lang w:val="en-US"/>
        </w:rPr>
        <w:t xml:space="preserve">A proposal to the GFC from the GFC-APC to recommend </w:t>
      </w:r>
      <w:r w:rsidRPr="54B858B4" w:rsidR="07A0E69A">
        <w:rPr>
          <w:rFonts w:ascii="Calibri" w:hAnsi="Calibri" w:eastAsia="Calibri" w:cs="Calibri"/>
          <w:b w:val="1"/>
          <w:bCs w:val="1"/>
          <w:i w:val="1"/>
          <w:iCs w:val="1"/>
          <w:noProof w:val="0"/>
          <w:sz w:val="22"/>
          <w:szCs w:val="22"/>
          <w:lang w:val="en-US"/>
        </w:rPr>
        <w:t>amend</w:t>
      </w:r>
      <w:r w:rsidRPr="54B858B4" w:rsidR="528EC671">
        <w:rPr>
          <w:rFonts w:ascii="Calibri" w:hAnsi="Calibri" w:eastAsia="Calibri" w:cs="Calibri"/>
          <w:b w:val="1"/>
          <w:bCs w:val="1"/>
          <w:i w:val="1"/>
          <w:iCs w:val="1"/>
          <w:noProof w:val="0"/>
          <w:sz w:val="22"/>
          <w:szCs w:val="22"/>
          <w:lang w:val="en-US"/>
        </w:rPr>
        <w:t>ing</w:t>
      </w:r>
      <w:r w:rsidRPr="54B858B4" w:rsidR="07A0E69A">
        <w:rPr>
          <w:rFonts w:ascii="Calibri" w:hAnsi="Calibri" w:eastAsia="Calibri" w:cs="Calibri"/>
          <w:b w:val="1"/>
          <w:bCs w:val="1"/>
          <w:i w:val="1"/>
          <w:iCs w:val="1"/>
          <w:noProof w:val="0"/>
          <w:sz w:val="22"/>
          <w:szCs w:val="22"/>
          <w:lang w:val="en-US"/>
        </w:rPr>
        <w:t xml:space="preserve"> </w:t>
      </w:r>
      <w:r w:rsidRPr="54B858B4" w:rsidR="07A0E69A">
        <w:rPr>
          <w:rFonts w:ascii="Calibri" w:hAnsi="Calibri" w:eastAsia="Calibri" w:cs="Calibri"/>
          <w:b w:val="1"/>
          <w:bCs w:val="1"/>
          <w:i w:val="1"/>
          <w:iCs w:val="1"/>
          <w:noProof w:val="0"/>
          <w:sz w:val="22"/>
          <w:szCs w:val="22"/>
          <w:lang w:val="en-US"/>
        </w:rPr>
        <w:t>ACA-66 C7 policy on the W grade</w:t>
      </w:r>
      <w:r w:rsidRPr="54B858B4" w:rsidR="62AEB403">
        <w:rPr>
          <w:rFonts w:ascii="Calibri" w:hAnsi="Calibri" w:eastAsia="Calibri" w:cs="Calibri"/>
          <w:b w:val="1"/>
          <w:bCs w:val="1"/>
          <w:i w:val="1"/>
          <w:iCs w:val="1"/>
          <w:noProof w:val="0"/>
          <w:sz w:val="22"/>
          <w:szCs w:val="22"/>
          <w:lang w:val="en-US"/>
        </w:rPr>
        <w:t>.</w:t>
      </w:r>
    </w:p>
    <w:p w:rsidR="62AEB403" w:rsidP="54B858B4" w:rsidRDefault="62AEB403" w14:paraId="2AD8C9DA" w14:textId="1EAE24B3">
      <w:pPr>
        <w:pStyle w:val="Normal"/>
        <w:ind w:left="0"/>
        <w:rPr>
          <w:rFonts w:ascii="Calibri" w:hAnsi="Calibri" w:eastAsia="Calibri" w:cs="Calibri"/>
          <w:b w:val="1"/>
          <w:bCs w:val="1"/>
          <w:i w:val="1"/>
          <w:iCs w:val="1"/>
          <w:noProof w:val="0"/>
          <w:sz w:val="22"/>
          <w:szCs w:val="22"/>
          <w:lang w:val="en-US"/>
        </w:rPr>
      </w:pPr>
      <w:r w:rsidRPr="54B858B4" w:rsidR="62AEB403">
        <w:rPr>
          <w:rFonts w:ascii="Calibri" w:hAnsi="Calibri" w:eastAsia="Calibri" w:cs="Calibri"/>
          <w:b w:val="1"/>
          <w:bCs w:val="1"/>
          <w:i w:val="1"/>
          <w:iCs w:val="1"/>
          <w:noProof w:val="0"/>
          <w:sz w:val="22"/>
          <w:szCs w:val="22"/>
          <w:lang w:val="en-US"/>
        </w:rPr>
        <w:t>If passed by the GFC, the GFC will forward this recommendation to the UFC for final approval and adoption.</w:t>
      </w:r>
    </w:p>
    <w:p w:rsidR="5DD68D31" w:rsidP="54B858B4" w:rsidRDefault="5DD68D31" w14:paraId="7AA6C1BA" w14:textId="26F1CA93">
      <w:pPr>
        <w:spacing w:line="257" w:lineRule="auto"/>
        <w:rPr>
          <w:rFonts w:ascii="Calibri" w:hAnsi="Calibri" w:eastAsia="Calibri" w:cs="Calibri"/>
          <w:noProof w:val="0"/>
          <w:sz w:val="22"/>
          <w:szCs w:val="22"/>
          <w:lang w:val="en-US"/>
        </w:rPr>
      </w:pPr>
      <w:r w:rsidRPr="54B858B4" w:rsidR="5DD68D31">
        <w:rPr>
          <w:rFonts w:ascii="Calibri" w:hAnsi="Calibri" w:eastAsia="Calibri" w:cs="Calibri"/>
          <w:noProof w:val="0"/>
          <w:sz w:val="22"/>
          <w:szCs w:val="22"/>
          <w:lang w:val="en-US"/>
        </w:rPr>
        <w:t>History</w:t>
      </w:r>
    </w:p>
    <w:p w:rsidR="3CB306C2" w:rsidP="54B858B4" w:rsidRDefault="3CB306C2" w14:paraId="43433471" w14:textId="0940C679">
      <w:pPr>
        <w:spacing w:line="257" w:lineRule="auto"/>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 xml:space="preserve">The </w:t>
      </w:r>
      <w:r w:rsidRPr="54B858B4" w:rsidR="013A5036">
        <w:rPr>
          <w:rFonts w:ascii="Calibri" w:hAnsi="Calibri" w:eastAsia="Calibri" w:cs="Calibri"/>
          <w:noProof w:val="0"/>
          <w:sz w:val="22"/>
          <w:szCs w:val="22"/>
          <w:lang w:val="en-US"/>
        </w:rPr>
        <w:t xml:space="preserve">2021-2022 </w:t>
      </w:r>
      <w:r w:rsidRPr="54B858B4" w:rsidR="3CB306C2">
        <w:rPr>
          <w:rFonts w:ascii="Calibri" w:hAnsi="Calibri" w:eastAsia="Calibri" w:cs="Calibri"/>
          <w:noProof w:val="0"/>
          <w:sz w:val="22"/>
          <w:szCs w:val="22"/>
          <w:lang w:val="en-US"/>
        </w:rPr>
        <w:t>APC discussed the withdrawal policies used across the campuses and raised concerns about whether any graduate programs that are linked to professional certification would prohibit a withdrawal policy.</w:t>
      </w:r>
    </w:p>
    <w:p w:rsidR="3CB306C2" w:rsidP="54B858B4" w:rsidRDefault="3CB306C2" w14:paraId="0ACCB578" w14:textId="0A4D85D2">
      <w:pPr>
        <w:pStyle w:val="ListParagraph"/>
        <w:numPr>
          <w:ilvl w:val="1"/>
          <w:numId w:val="7"/>
        </w:numPr>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 xml:space="preserve">To assess whether any programs did not allow withdrawals from graduate programs, potentially due to accreditation criteria, the APC (with the help of the GFC executives) put out a survey to ask deans about their withdrawal policies.  </w:t>
      </w:r>
    </w:p>
    <w:p w:rsidR="3CB306C2" w:rsidP="54B858B4" w:rsidRDefault="3CB306C2" w14:paraId="176F8FDC" w14:textId="274BD806">
      <w:pPr>
        <w:pStyle w:val="ListParagraph"/>
        <w:numPr>
          <w:ilvl w:val="2"/>
          <w:numId w:val="7"/>
        </w:numPr>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Survey Results:</w:t>
      </w:r>
    </w:p>
    <w:p w:rsidR="3CB306C2" w:rsidP="54B858B4" w:rsidRDefault="3CB306C2" w14:paraId="70F8A20E" w14:textId="7CAB8DDC">
      <w:pPr>
        <w:pStyle w:val="ListParagraph"/>
        <w:numPr>
          <w:ilvl w:val="0"/>
          <w:numId w:val="8"/>
        </w:numPr>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Still only 15 responses to the withdrawal survey.  8 from IUB, 5 from IUPUI, 1 each from IUE, IUS.</w:t>
      </w:r>
    </w:p>
    <w:p w:rsidR="3CB306C2" w:rsidP="54B858B4" w:rsidRDefault="3CB306C2" w14:paraId="5EDBAE33" w14:textId="7F00F8A7">
      <w:pPr>
        <w:pStyle w:val="ListParagraph"/>
        <w:numPr>
          <w:ilvl w:val="0"/>
          <w:numId w:val="8"/>
        </w:numPr>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Essentially everyone said all programs allow a W that they know of, and no accreditation issues were known.</w:t>
      </w:r>
    </w:p>
    <w:p w:rsidR="3CB306C2" w:rsidP="54B858B4" w:rsidRDefault="3CB306C2" w14:paraId="13CE7CA4" w14:textId="1B252FE1">
      <w:pPr>
        <w:pStyle w:val="ListParagraph"/>
        <w:numPr>
          <w:ilvl w:val="2"/>
          <w:numId w:val="7"/>
        </w:numPr>
        <w:rPr>
          <w:rFonts w:ascii="Calibri" w:hAnsi="Calibri" w:eastAsia="Calibri" w:cs="Calibri"/>
          <w:b w:val="1"/>
          <w:bCs w:val="1"/>
          <w:i w:val="1"/>
          <w:iCs w:val="1"/>
          <w:noProof w:val="0"/>
          <w:sz w:val="22"/>
          <w:szCs w:val="22"/>
          <w:lang w:val="en-US"/>
        </w:rPr>
      </w:pPr>
      <w:r w:rsidRPr="54B858B4" w:rsidR="3CB306C2">
        <w:rPr>
          <w:rFonts w:ascii="Calibri" w:hAnsi="Calibri" w:eastAsia="Calibri" w:cs="Calibri"/>
          <w:b w:val="1"/>
          <w:bCs w:val="1"/>
          <w:i w:val="1"/>
          <w:iCs w:val="1"/>
          <w:noProof w:val="0"/>
          <w:sz w:val="22"/>
          <w:szCs w:val="22"/>
          <w:lang w:val="en-US"/>
        </w:rPr>
        <w:t>Conclusion: No accreditation issues were raised about the W for any respondents. Although no respondent from three of the regional campuses (IUN, IUSB, IUK) filled out the survey, these campuses have few graduate programs.  Therefore, course Withdrawal policies should be implementable across the Graduate School.</w:t>
      </w:r>
    </w:p>
    <w:p w:rsidR="3CB306C2" w:rsidP="54B858B4" w:rsidRDefault="3CB306C2" w14:paraId="5AB986F9" w14:textId="24CFDAF1">
      <w:pPr>
        <w:spacing w:line="257" w:lineRule="auto"/>
      </w:pPr>
      <w:r w:rsidRPr="54B858B4" w:rsidR="3CB306C2">
        <w:rPr>
          <w:rFonts w:ascii="Calibri" w:hAnsi="Calibri" w:eastAsia="Calibri" w:cs="Calibri"/>
          <w:noProof w:val="0"/>
          <w:sz w:val="22"/>
          <w:szCs w:val="22"/>
          <w:lang w:val="en-US"/>
        </w:rPr>
        <w:t xml:space="preserve"> </w:t>
      </w:r>
    </w:p>
    <w:p w:rsidR="3CB306C2" w:rsidP="54B858B4" w:rsidRDefault="3CB306C2" w14:paraId="04F53C33" w14:textId="1729C95B">
      <w:pPr>
        <w:spacing w:line="257" w:lineRule="auto"/>
      </w:pPr>
      <w:r w:rsidRPr="54B858B4" w:rsidR="3CB306C2">
        <w:rPr>
          <w:rFonts w:ascii="Calibri" w:hAnsi="Calibri" w:eastAsia="Calibri" w:cs="Calibri"/>
          <w:noProof w:val="0"/>
          <w:sz w:val="22"/>
          <w:szCs w:val="22"/>
          <w:lang w:val="en-US"/>
        </w:rPr>
        <w:t>Given the acceptability of the W across campuses and programs, based on the minimal feedback the APC received from the survey, and that the W is already being implemented across campuses, the APC generally considers the W grade acceptable for adoption as a graduate policy.</w:t>
      </w:r>
    </w:p>
    <w:p w:rsidR="3CB306C2" w:rsidP="54B858B4" w:rsidRDefault="3CB306C2" w14:paraId="77DD3918" w14:textId="1919473C">
      <w:pPr>
        <w:pStyle w:val="ListParagraph"/>
        <w:numPr>
          <w:ilvl w:val="1"/>
          <w:numId w:val="7"/>
        </w:numPr>
        <w:rPr>
          <w:rFonts w:ascii="Calibri" w:hAnsi="Calibri" w:eastAsia="Calibri" w:cs="Calibri"/>
          <w:noProof w:val="0"/>
          <w:sz w:val="22"/>
          <w:szCs w:val="22"/>
          <w:lang w:val="en-US"/>
        </w:rPr>
      </w:pPr>
      <w:r w:rsidRPr="54B858B4" w:rsidR="3CB306C2">
        <w:rPr>
          <w:rFonts w:ascii="Calibri" w:hAnsi="Calibri" w:eastAsia="Calibri" w:cs="Calibri"/>
          <w:noProof w:val="0"/>
          <w:sz w:val="22"/>
          <w:szCs w:val="22"/>
          <w:lang w:val="en-US"/>
        </w:rPr>
        <w:t>The APC discussed whether to adopt the W language for the UFC as is.  After discussion among the APC and after reaching out to the IUPUI registrar for comment, the APC voted to recommend a modification to the qualifying language at the start of the W policy. Below is first the original ACA-66 C7 policy (1.), followed by ACA-66 C7 with the modified qualifying language (2.).</w:t>
      </w:r>
    </w:p>
    <w:p w:rsidR="3CB306C2" w:rsidRDefault="3CB306C2" w14:paraId="059385AD" w14:textId="4A6585EA">
      <w:r w:rsidRPr="54B858B4" w:rsidR="3CB306C2">
        <w:rPr>
          <w:rFonts w:ascii="Yu Mincho" w:hAnsi="Yu Mincho" w:eastAsia="Yu Mincho" w:cs="Yu Mincho"/>
          <w:noProof w:val="0"/>
          <w:sz w:val="22"/>
          <w:szCs w:val="22"/>
          <w:lang w:val="en-US"/>
        </w:rPr>
        <w:t xml:space="preserve"> </w:t>
      </w:r>
    </w:p>
    <w:p w:rsidR="3CB306C2" w:rsidP="54B858B4" w:rsidRDefault="3CB306C2" w14:paraId="0A43E676" w14:textId="1D7B2052">
      <w:pPr>
        <w:spacing w:line="257" w:lineRule="auto"/>
      </w:pPr>
      <w:r w:rsidRPr="54B858B4" w:rsidR="3CB306C2">
        <w:rPr>
          <w:rFonts w:ascii="Calibri" w:hAnsi="Calibri" w:eastAsia="Calibri" w:cs="Calibri"/>
          <w:b w:val="1"/>
          <w:bCs w:val="1"/>
          <w:noProof w:val="0"/>
          <w:color w:val="0070C0"/>
          <w:sz w:val="24"/>
          <w:szCs w:val="24"/>
          <w:lang w:val="en-US"/>
        </w:rPr>
        <w:t xml:space="preserve">1. Original ACA-66 Policy Language </w:t>
      </w:r>
    </w:p>
    <w:p w:rsidR="3CB306C2" w:rsidP="54B858B4" w:rsidRDefault="3CB306C2" w14:paraId="1EF0C790" w14:textId="0501889D">
      <w:pPr>
        <w:spacing w:line="257" w:lineRule="auto"/>
      </w:pPr>
      <w:r w:rsidRPr="54B858B4" w:rsidR="3CB306C2">
        <w:rPr>
          <w:rFonts w:ascii="Calibri" w:hAnsi="Calibri" w:eastAsia="Calibri" w:cs="Calibri"/>
          <w:noProof w:val="0"/>
          <w:color w:val="0070C0"/>
          <w:sz w:val="24"/>
          <w:szCs w:val="24"/>
          <w:lang w:val="en-US"/>
        </w:rPr>
        <w:t xml:space="preserve">C.7. </w:t>
      </w:r>
      <w:r w:rsidRPr="54B858B4" w:rsidR="3CB306C2">
        <w:rPr>
          <w:rFonts w:ascii="Calibri" w:hAnsi="Calibri" w:eastAsia="Calibri" w:cs="Calibri"/>
          <w:noProof w:val="0"/>
          <w:color w:val="0070C0"/>
          <w:sz w:val="22"/>
          <w:szCs w:val="22"/>
          <w:lang w:val="en-US"/>
        </w:rPr>
        <w:t>“</w:t>
      </w:r>
      <w:r w:rsidRPr="54B858B4" w:rsidR="3CB306C2">
        <w:rPr>
          <w:rFonts w:ascii="Calibri" w:hAnsi="Calibri" w:eastAsia="Calibri" w:cs="Calibri"/>
          <w:noProof w:val="0"/>
          <w:color w:val="0070C0"/>
          <w:sz w:val="24"/>
          <w:szCs w:val="24"/>
          <w:lang w:val="en-US"/>
        </w:rPr>
        <w:t xml:space="preserve">W (withdrawn) For undergraduates only: </w:t>
      </w:r>
      <w:r w:rsidRPr="54B858B4" w:rsidR="3CB306C2">
        <w:rPr>
          <w:rFonts w:ascii="Calibri" w:hAnsi="Calibri" w:eastAsia="Calibri" w:cs="Calibri"/>
          <w:noProof w:val="0"/>
          <w:color w:val="0070C0"/>
          <w:sz w:val="22"/>
          <w:szCs w:val="22"/>
          <w:lang w:val="en-US"/>
        </w:rPr>
        <w:t xml:space="preserve"> </w:t>
      </w:r>
    </w:p>
    <w:p w:rsidR="3CB306C2" w:rsidP="54B858B4" w:rsidRDefault="3CB306C2" w14:paraId="5FEF8265" w14:textId="2DEE29E0">
      <w:pPr>
        <w:spacing w:line="257" w:lineRule="auto"/>
      </w:pPr>
      <w:r w:rsidRPr="54B858B4" w:rsidR="3CB306C2">
        <w:rPr>
          <w:rFonts w:ascii="Calibri" w:hAnsi="Calibri" w:eastAsia="Calibri" w:cs="Calibri"/>
          <w:noProof w:val="0"/>
          <w:color w:val="0070C0"/>
          <w:sz w:val="22"/>
          <w:szCs w:val="22"/>
          <w:lang w:val="en-US"/>
        </w:rPr>
        <w:t xml:space="preserve">A “W” may be given in the following situations in which the student withdraws after the drop/add period: </w:t>
      </w:r>
    </w:p>
    <w:p w:rsidR="3CB306C2" w:rsidP="54B858B4" w:rsidRDefault="3CB306C2" w14:paraId="58E6DA7E" w14:textId="4566D8B5">
      <w:pPr>
        <w:spacing w:line="257" w:lineRule="auto"/>
      </w:pPr>
      <w:r w:rsidRPr="54B858B4" w:rsidR="3CB306C2">
        <w:rPr>
          <w:rFonts w:ascii="Calibri" w:hAnsi="Calibri" w:eastAsia="Calibri" w:cs="Calibri"/>
          <w:noProof w:val="0"/>
          <w:color w:val="0070C0"/>
          <w:sz w:val="22"/>
          <w:szCs w:val="22"/>
          <w:lang w:val="en-US"/>
        </w:rPr>
        <w:t xml:space="preserve">If a student withdraws after the drop/add period but within the automatic withdrawal period. </w:t>
      </w:r>
    </w:p>
    <w:p w:rsidR="3CB306C2" w:rsidP="54B858B4" w:rsidRDefault="3CB306C2" w14:paraId="17E2DEAC" w14:textId="2EC1A9D2">
      <w:pPr>
        <w:spacing w:line="257" w:lineRule="auto"/>
      </w:pPr>
      <w:r w:rsidRPr="54B858B4" w:rsidR="3CB306C2">
        <w:rPr>
          <w:rFonts w:ascii="Calibri" w:hAnsi="Calibri" w:eastAsia="Calibri" w:cs="Calibri"/>
          <w:noProof w:val="0"/>
          <w:color w:val="0070C0"/>
          <w:sz w:val="22"/>
          <w:szCs w:val="22"/>
          <w:lang w:val="en-US"/>
        </w:rPr>
        <w:t xml:space="preserve">If a student withdraws after the automatic withdrawal period but within a time limit set by a unit under a unit </w:t>
      </w:r>
      <w:r w:rsidRPr="54B858B4" w:rsidR="3CB306C2">
        <w:rPr>
          <w:rFonts w:ascii="Calibri" w:hAnsi="Calibri" w:eastAsia="Calibri" w:cs="Calibri"/>
          <w:noProof w:val="0"/>
          <w:color w:val="0070C0"/>
          <w:sz w:val="22"/>
          <w:szCs w:val="22"/>
          <w:lang w:val="en-US"/>
        </w:rPr>
        <w:t>policy</w:t>
      </w:r>
      <w:r w:rsidRPr="54B858B4" w:rsidR="586A21F7">
        <w:rPr>
          <w:rFonts w:ascii="Calibri" w:hAnsi="Calibri" w:eastAsia="Calibri" w:cs="Calibri"/>
          <w:noProof w:val="0"/>
          <w:color w:val="0070C0"/>
          <w:sz w:val="22"/>
          <w:szCs w:val="22"/>
          <w:lang w:val="en-US"/>
        </w:rPr>
        <w:t xml:space="preserve"> </w:t>
      </w:r>
      <w:r w:rsidRPr="54B858B4" w:rsidR="3CB306C2">
        <w:rPr>
          <w:rFonts w:ascii="Calibri" w:hAnsi="Calibri" w:eastAsia="Calibri" w:cs="Calibri"/>
          <w:noProof w:val="0"/>
          <w:color w:val="0070C0"/>
          <w:sz w:val="22"/>
          <w:szCs w:val="22"/>
          <w:lang w:val="en-US"/>
        </w:rPr>
        <w:t>that</w:t>
      </w:r>
      <w:r w:rsidRPr="54B858B4" w:rsidR="3CB306C2">
        <w:rPr>
          <w:rFonts w:ascii="Calibri" w:hAnsi="Calibri" w:eastAsia="Calibri" w:cs="Calibri"/>
          <w:noProof w:val="0"/>
          <w:color w:val="0070C0"/>
          <w:sz w:val="22"/>
          <w:szCs w:val="22"/>
          <w:lang w:val="en-US"/>
        </w:rPr>
        <w:t xml:space="preserve"> allows such withdrawals, with the consent of the instructor and principal administrator of the student’s unit. </w:t>
      </w:r>
    </w:p>
    <w:p w:rsidR="3CB306C2" w:rsidP="54B858B4" w:rsidRDefault="3CB306C2" w14:paraId="5BA0E1A2" w14:textId="469340A7">
      <w:pPr>
        <w:spacing w:line="257" w:lineRule="auto"/>
      </w:pPr>
      <w:r w:rsidRPr="54B858B4" w:rsidR="3CB306C2">
        <w:rPr>
          <w:rFonts w:ascii="Calibri" w:hAnsi="Calibri" w:eastAsia="Calibri" w:cs="Calibri"/>
          <w:noProof w:val="0"/>
          <w:color w:val="0070C0"/>
          <w:sz w:val="22"/>
          <w:szCs w:val="22"/>
          <w:lang w:val="en-US"/>
        </w:rPr>
        <w:t xml:space="preserve">If a student received an “I” and the instructor, in consultation with the principal administrator of the unit offering the course, determines that it is not feasible either for the student to complete the required work to remove the “I” or to enter a letter grade based on the work completed. </w:t>
      </w:r>
    </w:p>
    <w:p w:rsidR="3CB306C2" w:rsidP="54B858B4" w:rsidRDefault="3CB306C2" w14:paraId="38BF9298" w14:textId="01991934">
      <w:pPr>
        <w:spacing w:line="257" w:lineRule="auto"/>
      </w:pPr>
      <w:r w:rsidRPr="54B858B4" w:rsidR="3CB306C2">
        <w:rPr>
          <w:rFonts w:ascii="Calibri" w:hAnsi="Calibri" w:eastAsia="Calibri" w:cs="Calibri"/>
          <w:noProof w:val="0"/>
          <w:color w:val="0070C0"/>
          <w:sz w:val="22"/>
          <w:szCs w:val="22"/>
          <w:lang w:val="en-US"/>
        </w:rPr>
        <w:t xml:space="preserve">When the withdrawal is approved under </w:t>
      </w:r>
      <w:hyperlink r:id="R19a8653592ca4625">
        <w:r w:rsidRPr="54B858B4" w:rsidR="3CB306C2">
          <w:rPr>
            <w:rStyle w:val="Hyperlink"/>
            <w:rFonts w:ascii="Calibri" w:hAnsi="Calibri" w:eastAsia="Calibri" w:cs="Calibri"/>
            <w:strike w:val="0"/>
            <w:dstrike w:val="0"/>
            <w:noProof w:val="0"/>
            <w:sz w:val="22"/>
            <w:szCs w:val="22"/>
            <w:lang w:val="en-US"/>
          </w:rPr>
          <w:t>USSS-02, Military Withdrawal</w:t>
        </w:r>
      </w:hyperlink>
      <w:r w:rsidRPr="54B858B4" w:rsidR="3CB306C2">
        <w:rPr>
          <w:rFonts w:ascii="Calibri" w:hAnsi="Calibri" w:eastAsia="Calibri" w:cs="Calibri"/>
          <w:noProof w:val="0"/>
          <w:color w:val="0070C0"/>
          <w:sz w:val="22"/>
          <w:szCs w:val="22"/>
          <w:lang w:val="en-US"/>
        </w:rPr>
        <w:t xml:space="preserve">. “ </w:t>
      </w:r>
    </w:p>
    <w:p w:rsidR="54B858B4" w:rsidP="54B858B4" w:rsidRDefault="54B858B4" w14:paraId="7094001E" w14:textId="01ECC160">
      <w:pPr>
        <w:pStyle w:val="Normal"/>
        <w:spacing w:line="257" w:lineRule="auto"/>
        <w:rPr>
          <w:rFonts w:ascii="Calibri" w:hAnsi="Calibri" w:eastAsia="Calibri" w:cs="Calibri"/>
          <w:noProof w:val="0"/>
          <w:color w:val="0070C0"/>
          <w:sz w:val="22"/>
          <w:szCs w:val="22"/>
          <w:lang w:val="en-US"/>
        </w:rPr>
      </w:pPr>
    </w:p>
    <w:p w:rsidR="54B858B4" w:rsidP="54B858B4" w:rsidRDefault="54B858B4" w14:paraId="3808EA15" w14:textId="0C154773">
      <w:pPr>
        <w:pStyle w:val="Normal"/>
        <w:spacing w:line="257" w:lineRule="auto"/>
        <w:rPr>
          <w:rFonts w:ascii="Calibri" w:hAnsi="Calibri" w:eastAsia="Calibri" w:cs="Calibri"/>
          <w:noProof w:val="0"/>
          <w:color w:val="0070C0"/>
          <w:sz w:val="22"/>
          <w:szCs w:val="22"/>
          <w:lang w:val="en-US"/>
        </w:rPr>
      </w:pPr>
    </w:p>
    <w:p w:rsidR="3CB306C2" w:rsidP="54B858B4" w:rsidRDefault="3CB306C2" w14:paraId="6D016AC6" w14:textId="339FC8AF">
      <w:pPr>
        <w:spacing w:line="257" w:lineRule="auto"/>
      </w:pPr>
      <w:r w:rsidRPr="54B858B4" w:rsidR="3CB306C2">
        <w:rPr>
          <w:rFonts w:ascii="Calibri" w:hAnsi="Calibri" w:eastAsia="Calibri" w:cs="Calibri"/>
          <w:b w:val="1"/>
          <w:bCs w:val="1"/>
          <w:noProof w:val="0"/>
          <w:color w:val="C00000"/>
          <w:sz w:val="24"/>
          <w:szCs w:val="24"/>
          <w:lang w:val="en-US"/>
        </w:rPr>
        <w:t xml:space="preserve">2. Recommended modification </w:t>
      </w:r>
      <w:r w:rsidRPr="54B858B4" w:rsidR="3CB306C2">
        <w:rPr>
          <w:rFonts w:ascii="Calibri" w:hAnsi="Calibri" w:eastAsia="Calibri" w:cs="Calibri"/>
          <w:b w:val="0"/>
          <w:bCs w:val="0"/>
          <w:noProof w:val="0"/>
          <w:color w:val="C00000"/>
          <w:sz w:val="24"/>
          <w:szCs w:val="24"/>
          <w:lang w:val="en-US"/>
        </w:rPr>
        <w:t>(bold, blue type)</w:t>
      </w:r>
      <w:r w:rsidRPr="54B858B4" w:rsidR="3CB306C2">
        <w:rPr>
          <w:rFonts w:ascii="Calibri" w:hAnsi="Calibri" w:eastAsia="Calibri" w:cs="Calibri"/>
          <w:b w:val="1"/>
          <w:bCs w:val="1"/>
          <w:noProof w:val="0"/>
          <w:color w:val="C00000"/>
          <w:sz w:val="24"/>
          <w:szCs w:val="24"/>
          <w:lang w:val="en-US"/>
        </w:rPr>
        <w:t xml:space="preserve"> to the </w:t>
      </w:r>
      <w:r w:rsidRPr="54B858B4" w:rsidR="4E155603">
        <w:rPr>
          <w:rFonts w:ascii="Calibri" w:hAnsi="Calibri" w:eastAsia="Calibri" w:cs="Calibri"/>
          <w:b w:val="1"/>
          <w:bCs w:val="1"/>
          <w:noProof w:val="0"/>
          <w:color w:val="C00000"/>
          <w:sz w:val="24"/>
          <w:szCs w:val="24"/>
          <w:lang w:val="en-US"/>
        </w:rPr>
        <w:t xml:space="preserve">existing </w:t>
      </w:r>
      <w:r w:rsidRPr="54B858B4" w:rsidR="3CB306C2">
        <w:rPr>
          <w:rFonts w:ascii="Calibri" w:hAnsi="Calibri" w:eastAsia="Calibri" w:cs="Calibri"/>
          <w:b w:val="1"/>
          <w:bCs w:val="1"/>
          <w:noProof w:val="0"/>
          <w:color w:val="C00000"/>
          <w:sz w:val="24"/>
          <w:szCs w:val="24"/>
          <w:lang w:val="en-US"/>
        </w:rPr>
        <w:t>ACA-66 Policy Language</w:t>
      </w:r>
      <w:r w:rsidRPr="54B858B4" w:rsidR="3DBCE9F9">
        <w:rPr>
          <w:rFonts w:ascii="Calibri" w:hAnsi="Calibri" w:eastAsia="Calibri" w:cs="Calibri"/>
          <w:b w:val="1"/>
          <w:bCs w:val="1"/>
          <w:noProof w:val="0"/>
          <w:color w:val="C00000"/>
          <w:sz w:val="24"/>
          <w:szCs w:val="24"/>
          <w:lang w:val="en-US"/>
        </w:rPr>
        <w:t xml:space="preserve"> </w:t>
      </w:r>
      <w:r w:rsidRPr="54B858B4" w:rsidR="3DBCE9F9">
        <w:rPr>
          <w:rFonts w:ascii="Calibri" w:hAnsi="Calibri" w:eastAsia="Calibri" w:cs="Calibri"/>
          <w:b w:val="0"/>
          <w:bCs w:val="0"/>
          <w:noProof w:val="0"/>
          <w:color w:val="C00000"/>
          <w:sz w:val="24"/>
          <w:szCs w:val="24"/>
          <w:lang w:val="en-US"/>
        </w:rPr>
        <w:t>(in red)</w:t>
      </w:r>
      <w:r w:rsidRPr="54B858B4" w:rsidR="3CB306C2">
        <w:rPr>
          <w:rFonts w:ascii="Calibri" w:hAnsi="Calibri" w:eastAsia="Calibri" w:cs="Calibri"/>
          <w:b w:val="1"/>
          <w:bCs w:val="1"/>
          <w:noProof w:val="0"/>
          <w:color w:val="C00000"/>
          <w:sz w:val="24"/>
          <w:szCs w:val="24"/>
          <w:lang w:val="en-US"/>
        </w:rPr>
        <w:t xml:space="preserve"> to be sent to UFC as a request to modify the policy qualifying phrase preceding the policy:</w:t>
      </w:r>
    </w:p>
    <w:p w:rsidR="3CB306C2" w:rsidP="54B858B4" w:rsidRDefault="3CB306C2" w14:paraId="43F1C1C8" w14:textId="3161B0B9">
      <w:pPr>
        <w:spacing w:line="257" w:lineRule="auto"/>
      </w:pPr>
      <w:r w:rsidRPr="54B858B4" w:rsidR="3CB306C2">
        <w:rPr>
          <w:rFonts w:ascii="Calibri" w:hAnsi="Calibri" w:eastAsia="Calibri" w:cs="Calibri"/>
          <w:noProof w:val="0"/>
          <w:color w:val="C00000"/>
          <w:sz w:val="24"/>
          <w:szCs w:val="24"/>
          <w:lang w:val="en-US"/>
        </w:rPr>
        <w:t xml:space="preserve">C.7. </w:t>
      </w:r>
      <w:r w:rsidRPr="54B858B4" w:rsidR="3CB306C2">
        <w:rPr>
          <w:rFonts w:ascii="Calibri" w:hAnsi="Calibri" w:eastAsia="Calibri" w:cs="Calibri"/>
          <w:noProof w:val="0"/>
          <w:color w:val="C00000"/>
          <w:sz w:val="22"/>
          <w:szCs w:val="22"/>
          <w:lang w:val="en-US"/>
        </w:rPr>
        <w:t>“</w:t>
      </w:r>
      <w:r w:rsidRPr="54B858B4" w:rsidR="3CB306C2">
        <w:rPr>
          <w:rFonts w:ascii="Calibri" w:hAnsi="Calibri" w:eastAsia="Calibri" w:cs="Calibri"/>
          <w:noProof w:val="0"/>
          <w:color w:val="C00000"/>
          <w:sz w:val="24"/>
          <w:szCs w:val="24"/>
          <w:lang w:val="en-US"/>
        </w:rPr>
        <w:t xml:space="preserve">W (withdrawn) </w:t>
      </w:r>
      <w:r w:rsidRPr="54B858B4" w:rsidR="3CB306C2">
        <w:rPr>
          <w:rFonts w:ascii="Calibri" w:hAnsi="Calibri" w:eastAsia="Calibri" w:cs="Calibri"/>
          <w:strike w:val="1"/>
          <w:noProof w:val="0"/>
          <w:color w:val="C00000"/>
          <w:sz w:val="24"/>
          <w:szCs w:val="24"/>
          <w:lang w:val="en-US"/>
        </w:rPr>
        <w:t>For undergraduates only</w:t>
      </w:r>
      <w:r w:rsidRPr="54B858B4" w:rsidR="3CB306C2">
        <w:rPr>
          <w:rFonts w:ascii="Calibri" w:hAnsi="Calibri" w:eastAsia="Calibri" w:cs="Calibri"/>
          <w:noProof w:val="0"/>
          <w:color w:val="C00000"/>
          <w:sz w:val="24"/>
          <w:szCs w:val="24"/>
          <w:lang w:val="en-US"/>
        </w:rPr>
        <w:t xml:space="preserve">: </w:t>
      </w:r>
      <w:r w:rsidRPr="54B858B4" w:rsidR="3CB306C2">
        <w:rPr>
          <w:rFonts w:ascii="Calibri" w:hAnsi="Calibri" w:eastAsia="Calibri" w:cs="Calibri"/>
          <w:noProof w:val="0"/>
          <w:color w:val="C00000"/>
          <w:sz w:val="22"/>
          <w:szCs w:val="22"/>
          <w:lang w:val="en-US"/>
        </w:rPr>
        <w:t xml:space="preserve"> </w:t>
      </w:r>
      <w:r w:rsidRPr="54B858B4" w:rsidR="3CB306C2">
        <w:rPr>
          <w:rFonts w:ascii="Calibri" w:hAnsi="Calibri" w:eastAsia="Calibri" w:cs="Calibri"/>
          <w:b w:val="1"/>
          <w:bCs w:val="1"/>
          <w:noProof w:val="0"/>
          <w:color w:val="002060"/>
          <w:sz w:val="22"/>
          <w:szCs w:val="22"/>
          <w:lang w:val="en-US"/>
        </w:rPr>
        <w:t>The provisions in this policy apply to all Indiana University students in all units, including undergraduate, graduate, and professional programs, unless expressly identified as applying to undergraduates only, subject to two principles:</w:t>
      </w:r>
    </w:p>
    <w:p w:rsidR="3CB306C2" w:rsidP="54B858B4" w:rsidRDefault="3CB306C2" w14:paraId="25351643" w14:textId="2162841E">
      <w:pPr>
        <w:tabs>
          <w:tab w:val="left" w:leader="none" w:pos="0"/>
          <w:tab w:val="left" w:leader="none" w:pos="0"/>
          <w:tab w:val="left" w:leader="none" w:pos="0"/>
          <w:tab w:val="left" w:leader="none" w:pos="0"/>
          <w:tab w:val="left" w:leader="none" w:pos="0"/>
          <w:tab w:val="left" w:leader="none" w:pos="0"/>
          <w:tab w:val="left" w:leader="none" w:pos="720"/>
        </w:tabs>
        <w:spacing w:line="257" w:lineRule="auto"/>
      </w:pPr>
      <w:r w:rsidRPr="54B858B4" w:rsidR="3CB306C2">
        <w:rPr>
          <w:rFonts w:ascii="Calibri" w:hAnsi="Calibri" w:eastAsia="Calibri" w:cs="Calibri"/>
          <w:b w:val="1"/>
          <w:bCs w:val="1"/>
          <w:noProof w:val="0"/>
          <w:color w:val="002060"/>
          <w:sz w:val="22"/>
          <w:szCs w:val="22"/>
          <w:lang w:val="en-US"/>
        </w:rPr>
        <w:t>1. Units with graduate or professional programs may adopt or modify any provisions, including grade submission deadlines, as appropriate to their programs, in consultation with the chief academic affairs officer and registrar of the campus administering the program.</w:t>
      </w:r>
    </w:p>
    <w:p w:rsidR="3CB306C2" w:rsidP="54B858B4" w:rsidRDefault="3CB306C2" w14:paraId="575C0D11" w14:textId="1A3A03AF">
      <w:pPr>
        <w:tabs>
          <w:tab w:val="left" w:leader="none" w:pos="0"/>
          <w:tab w:val="left" w:leader="none" w:pos="0"/>
          <w:tab w:val="left" w:leader="none" w:pos="0"/>
          <w:tab w:val="left" w:leader="none" w:pos="0"/>
          <w:tab w:val="left" w:leader="none" w:pos="0"/>
          <w:tab w:val="left" w:leader="none" w:pos="0"/>
          <w:tab w:val="left" w:leader="none" w:pos="720"/>
        </w:tabs>
        <w:spacing w:line="257" w:lineRule="auto"/>
      </w:pPr>
      <w:r w:rsidRPr="54B858B4" w:rsidR="3CB306C2">
        <w:rPr>
          <w:rFonts w:ascii="Calibri" w:hAnsi="Calibri" w:eastAsia="Calibri" w:cs="Calibri"/>
          <w:b w:val="1"/>
          <w:bCs w:val="1"/>
          <w:noProof w:val="0"/>
          <w:color w:val="002060"/>
          <w:sz w:val="22"/>
          <w:szCs w:val="22"/>
          <w:lang w:val="en-US"/>
        </w:rPr>
        <w:t>2. Nothing in this policy is intended to override accreditation standards that may require academic units to vary from its terms.</w:t>
      </w:r>
    </w:p>
    <w:p w:rsidR="3CB306C2" w:rsidP="54B858B4" w:rsidRDefault="3CB306C2" w14:paraId="02F71B22" w14:textId="33F3C8CC">
      <w:pPr>
        <w:spacing w:line="257" w:lineRule="auto"/>
      </w:pPr>
      <w:r w:rsidRPr="54B858B4" w:rsidR="3CB306C2">
        <w:rPr>
          <w:rFonts w:ascii="Calibri" w:hAnsi="Calibri" w:eastAsia="Calibri" w:cs="Calibri"/>
          <w:noProof w:val="0"/>
          <w:color w:val="C00000"/>
          <w:sz w:val="22"/>
          <w:szCs w:val="22"/>
          <w:lang w:val="en-US"/>
        </w:rPr>
        <w:t xml:space="preserve">A “W” may be given in the following situations in which the student withdraws after the drop/add period: </w:t>
      </w:r>
    </w:p>
    <w:p w:rsidR="3CB306C2" w:rsidP="54B858B4" w:rsidRDefault="3CB306C2" w14:paraId="68B161DC" w14:textId="0CD66792">
      <w:pPr>
        <w:spacing w:line="257" w:lineRule="auto"/>
      </w:pPr>
      <w:r w:rsidRPr="54B858B4" w:rsidR="3CB306C2">
        <w:rPr>
          <w:rFonts w:ascii="Calibri" w:hAnsi="Calibri" w:eastAsia="Calibri" w:cs="Calibri"/>
          <w:noProof w:val="0"/>
          <w:color w:val="C00000"/>
          <w:sz w:val="22"/>
          <w:szCs w:val="22"/>
          <w:lang w:val="en-US"/>
        </w:rPr>
        <w:t xml:space="preserve">If a student withdraws after the drop/add period but within the automatic withdrawal period. </w:t>
      </w:r>
    </w:p>
    <w:p w:rsidR="3CB306C2" w:rsidP="54B858B4" w:rsidRDefault="3CB306C2" w14:paraId="27875135" w14:textId="27F7AC72">
      <w:pPr>
        <w:spacing w:line="257" w:lineRule="auto"/>
      </w:pPr>
      <w:r w:rsidRPr="54B858B4" w:rsidR="3CB306C2">
        <w:rPr>
          <w:rFonts w:ascii="Calibri" w:hAnsi="Calibri" w:eastAsia="Calibri" w:cs="Calibri"/>
          <w:noProof w:val="0"/>
          <w:color w:val="C00000"/>
          <w:sz w:val="22"/>
          <w:szCs w:val="22"/>
          <w:lang w:val="en-US"/>
        </w:rPr>
        <w:t xml:space="preserve">If a student withdraws after the automatic withdrawal period but within a time limit set by a unit under a unit policy that allows such withdrawals, with the consent of the instructor and principal administrator of the student’s unit. </w:t>
      </w:r>
    </w:p>
    <w:p w:rsidR="3CB306C2" w:rsidP="54B858B4" w:rsidRDefault="3CB306C2" w14:paraId="3563731E" w14:textId="3C1F4582">
      <w:pPr>
        <w:spacing w:line="257" w:lineRule="auto"/>
      </w:pPr>
      <w:r w:rsidRPr="54B858B4" w:rsidR="3CB306C2">
        <w:rPr>
          <w:rFonts w:ascii="Calibri" w:hAnsi="Calibri" w:eastAsia="Calibri" w:cs="Calibri"/>
          <w:noProof w:val="0"/>
          <w:color w:val="C00000"/>
          <w:sz w:val="22"/>
          <w:szCs w:val="22"/>
          <w:lang w:val="en-US"/>
        </w:rPr>
        <w:t xml:space="preserve">If a student received an “I” and the instructor, in consultation with the principal administrator of the unit offering the course, determines that it is not feasible either for the student to complete the required work to remove the “I” or to enter a letter grade based on the work completed. </w:t>
      </w:r>
    </w:p>
    <w:p w:rsidR="3CB306C2" w:rsidP="54B858B4" w:rsidRDefault="3CB306C2" w14:paraId="1466C527" w14:textId="41022D4A">
      <w:pPr>
        <w:spacing w:line="257" w:lineRule="auto"/>
      </w:pPr>
      <w:r w:rsidRPr="54B858B4" w:rsidR="3CB306C2">
        <w:rPr>
          <w:rFonts w:ascii="Calibri" w:hAnsi="Calibri" w:eastAsia="Calibri" w:cs="Calibri"/>
          <w:noProof w:val="0"/>
          <w:color w:val="C00000"/>
          <w:sz w:val="22"/>
          <w:szCs w:val="22"/>
          <w:lang w:val="en-US"/>
        </w:rPr>
        <w:t xml:space="preserve">When the withdrawal is approved under </w:t>
      </w:r>
      <w:hyperlink r:id="R20ba26bf1172474a">
        <w:r w:rsidRPr="54B858B4" w:rsidR="3CB306C2">
          <w:rPr>
            <w:rStyle w:val="Hyperlink"/>
            <w:rFonts w:ascii="Calibri" w:hAnsi="Calibri" w:eastAsia="Calibri" w:cs="Calibri"/>
            <w:strike w:val="0"/>
            <w:dstrike w:val="0"/>
            <w:noProof w:val="0"/>
            <w:sz w:val="22"/>
            <w:szCs w:val="22"/>
            <w:lang w:val="en-US"/>
          </w:rPr>
          <w:t>USSS-02, Military Withdrawal</w:t>
        </w:r>
      </w:hyperlink>
      <w:r w:rsidRPr="54B858B4" w:rsidR="3CB306C2">
        <w:rPr>
          <w:rFonts w:ascii="Calibri" w:hAnsi="Calibri" w:eastAsia="Calibri" w:cs="Calibri"/>
          <w:noProof w:val="0"/>
          <w:color w:val="C00000"/>
          <w:sz w:val="22"/>
          <w:szCs w:val="22"/>
          <w:lang w:val="en-US"/>
        </w:rPr>
        <w:t>. “</w:t>
      </w:r>
    </w:p>
    <w:p w:rsidR="54B858B4" w:rsidP="54B858B4" w:rsidRDefault="54B858B4" w14:paraId="236CA019" w14:textId="22369E22">
      <w:pPr>
        <w:pStyle w:val="Normal"/>
      </w:pPr>
    </w:p>
    <w:sectPr w:rsidR="4A93F1A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
    <w:nsid w:val="7570aa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04be56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877D6B"/>
    <w:multiLevelType w:val="hybridMultilevel"/>
    <w:tmpl w:val="8C204802"/>
    <w:lvl w:ilvl="0" w:tplc="04090003">
      <w:start w:val="1"/>
      <w:numFmt w:val="bullet"/>
      <w:lvlText w:val="o"/>
      <w:lvlJc w:val="left"/>
      <w:pPr>
        <w:ind w:left="2160" w:hanging="360"/>
      </w:pPr>
      <w:rPr>
        <w:rFonts w:hint="default" w:ascii="Courier New" w:hAnsi="Courier New" w:cs="Courier New"/>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 w15:restartNumberingAfterBreak="0">
    <w:nsid w:val="1751209E"/>
    <w:multiLevelType w:val="hybridMultilevel"/>
    <w:tmpl w:val="14682AB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45D83051"/>
    <w:multiLevelType w:val="hybridMultilevel"/>
    <w:tmpl w:val="048E0A9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552817E2"/>
    <w:multiLevelType w:val="hybridMultilevel"/>
    <w:tmpl w:val="E6F01C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4" w15:restartNumberingAfterBreak="0">
    <w:nsid w:val="5DF2A00E"/>
    <w:multiLevelType w:val="hybridMultilevel"/>
    <w:tmpl w:val="89367758"/>
    <w:lvl w:ilvl="0" w:tplc="C9D8164E">
      <w:start w:val="1"/>
      <w:numFmt w:val="decimal"/>
      <w:lvlText w:val="%1."/>
      <w:lvlJc w:val="left"/>
      <w:pPr>
        <w:ind w:left="720" w:hanging="360"/>
      </w:pPr>
    </w:lvl>
    <w:lvl w:ilvl="1" w:tplc="F4B8E06C">
      <w:start w:val="1"/>
      <w:numFmt w:val="lowerLetter"/>
      <w:lvlText w:val="%2."/>
      <w:lvlJc w:val="left"/>
      <w:pPr>
        <w:ind w:left="1440" w:hanging="360"/>
      </w:pPr>
    </w:lvl>
    <w:lvl w:ilvl="2" w:tplc="1EC60E2E">
      <w:start w:val="1"/>
      <w:numFmt w:val="lowerRoman"/>
      <w:lvlText w:val="%3."/>
      <w:lvlJc w:val="right"/>
      <w:pPr>
        <w:ind w:left="2160" w:hanging="180"/>
      </w:pPr>
    </w:lvl>
    <w:lvl w:ilvl="3" w:tplc="5E207E88">
      <w:start w:val="1"/>
      <w:numFmt w:val="decimal"/>
      <w:lvlText w:val="%4."/>
      <w:lvlJc w:val="left"/>
      <w:pPr>
        <w:ind w:left="2880" w:hanging="360"/>
      </w:pPr>
    </w:lvl>
    <w:lvl w:ilvl="4" w:tplc="97FC0F36">
      <w:start w:val="1"/>
      <w:numFmt w:val="lowerLetter"/>
      <w:lvlText w:val="%5."/>
      <w:lvlJc w:val="left"/>
      <w:pPr>
        <w:ind w:left="3600" w:hanging="360"/>
      </w:pPr>
    </w:lvl>
    <w:lvl w:ilvl="5" w:tplc="01940188">
      <w:start w:val="1"/>
      <w:numFmt w:val="lowerRoman"/>
      <w:lvlText w:val="%6."/>
      <w:lvlJc w:val="right"/>
      <w:pPr>
        <w:ind w:left="4320" w:hanging="180"/>
      </w:pPr>
    </w:lvl>
    <w:lvl w:ilvl="6" w:tplc="0D107B0E">
      <w:start w:val="1"/>
      <w:numFmt w:val="decimal"/>
      <w:lvlText w:val="%7."/>
      <w:lvlJc w:val="left"/>
      <w:pPr>
        <w:ind w:left="5040" w:hanging="360"/>
      </w:pPr>
    </w:lvl>
    <w:lvl w:ilvl="7" w:tplc="54385EF6">
      <w:start w:val="1"/>
      <w:numFmt w:val="lowerLetter"/>
      <w:lvlText w:val="%8."/>
      <w:lvlJc w:val="left"/>
      <w:pPr>
        <w:ind w:left="5760" w:hanging="360"/>
      </w:pPr>
    </w:lvl>
    <w:lvl w:ilvl="8" w:tplc="9372048E">
      <w:start w:val="1"/>
      <w:numFmt w:val="lowerRoman"/>
      <w:lvlText w:val="%9."/>
      <w:lvlJc w:val="right"/>
      <w:pPr>
        <w:ind w:left="6480" w:hanging="180"/>
      </w:pPr>
    </w:lvl>
  </w:abstractNum>
  <w:abstractNum w:abstractNumId="5" w15:restartNumberingAfterBreak="0">
    <w:nsid w:val="702E7045"/>
    <w:multiLevelType w:val="hybridMultilevel"/>
    <w:tmpl w:val="CF86C2CA"/>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8">
    <w:abstractNumId w:val="7"/>
  </w:num>
  <w:num w:numId="7">
    <w:abstractNumId w:val="6"/>
  </w: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437D95"/>
    <w:rsid w:val="002269E3"/>
    <w:rsid w:val="00261638"/>
    <w:rsid w:val="002636BA"/>
    <w:rsid w:val="00355C8E"/>
    <w:rsid w:val="00471B1E"/>
    <w:rsid w:val="00491FF8"/>
    <w:rsid w:val="005450B5"/>
    <w:rsid w:val="005660DE"/>
    <w:rsid w:val="005C42E7"/>
    <w:rsid w:val="00621AB7"/>
    <w:rsid w:val="006D196B"/>
    <w:rsid w:val="0083360B"/>
    <w:rsid w:val="008B3049"/>
    <w:rsid w:val="00917BC3"/>
    <w:rsid w:val="00997C31"/>
    <w:rsid w:val="009C359E"/>
    <w:rsid w:val="009F14FE"/>
    <w:rsid w:val="00A02F06"/>
    <w:rsid w:val="00A206D9"/>
    <w:rsid w:val="00A478AE"/>
    <w:rsid w:val="00A946C9"/>
    <w:rsid w:val="00AA50AB"/>
    <w:rsid w:val="00B10D2B"/>
    <w:rsid w:val="00B13CD9"/>
    <w:rsid w:val="00C170A8"/>
    <w:rsid w:val="00CC0C57"/>
    <w:rsid w:val="00D12C9D"/>
    <w:rsid w:val="00DE579D"/>
    <w:rsid w:val="00DF6351"/>
    <w:rsid w:val="00E10CB9"/>
    <w:rsid w:val="00E94833"/>
    <w:rsid w:val="00F25406"/>
    <w:rsid w:val="00FD5F1C"/>
    <w:rsid w:val="013A5036"/>
    <w:rsid w:val="033C7E04"/>
    <w:rsid w:val="078A3902"/>
    <w:rsid w:val="07A0E69A"/>
    <w:rsid w:val="09260963"/>
    <w:rsid w:val="09D87285"/>
    <w:rsid w:val="0E114063"/>
    <w:rsid w:val="0E1D6D50"/>
    <w:rsid w:val="0E80D2A4"/>
    <w:rsid w:val="0E930F05"/>
    <w:rsid w:val="0EA356F2"/>
    <w:rsid w:val="122FE4E8"/>
    <w:rsid w:val="135A8F54"/>
    <w:rsid w:val="13E2D884"/>
    <w:rsid w:val="1422C85D"/>
    <w:rsid w:val="15F84B37"/>
    <w:rsid w:val="166CAAD4"/>
    <w:rsid w:val="1795202A"/>
    <w:rsid w:val="17B23E86"/>
    <w:rsid w:val="192479DC"/>
    <w:rsid w:val="19C9D0D8"/>
    <w:rsid w:val="19F1E9F9"/>
    <w:rsid w:val="1B65A139"/>
    <w:rsid w:val="1B7491FD"/>
    <w:rsid w:val="1B7E07F7"/>
    <w:rsid w:val="1CB89E9A"/>
    <w:rsid w:val="1D2971A5"/>
    <w:rsid w:val="1DBD47D6"/>
    <w:rsid w:val="1E988BDC"/>
    <w:rsid w:val="1EA95014"/>
    <w:rsid w:val="1EAC32BF"/>
    <w:rsid w:val="1F13D94B"/>
    <w:rsid w:val="200D8747"/>
    <w:rsid w:val="20480320"/>
    <w:rsid w:val="2055A04A"/>
    <w:rsid w:val="21449104"/>
    <w:rsid w:val="221E0118"/>
    <w:rsid w:val="22BA0D61"/>
    <w:rsid w:val="22E208C7"/>
    <w:rsid w:val="23C08936"/>
    <w:rsid w:val="24FF693B"/>
    <w:rsid w:val="277B00F0"/>
    <w:rsid w:val="28442441"/>
    <w:rsid w:val="2A516D7F"/>
    <w:rsid w:val="2B658FA0"/>
    <w:rsid w:val="2DD40D11"/>
    <w:rsid w:val="2E110E6F"/>
    <w:rsid w:val="2E48D4C2"/>
    <w:rsid w:val="2E963F77"/>
    <w:rsid w:val="300A935E"/>
    <w:rsid w:val="304CEA83"/>
    <w:rsid w:val="32A4C740"/>
    <w:rsid w:val="32D491E1"/>
    <w:rsid w:val="32FFFBCC"/>
    <w:rsid w:val="3342BD14"/>
    <w:rsid w:val="33DBBB59"/>
    <w:rsid w:val="37469B88"/>
    <w:rsid w:val="379FAEC1"/>
    <w:rsid w:val="38EF8FED"/>
    <w:rsid w:val="39010DAB"/>
    <w:rsid w:val="3ADFA3C6"/>
    <w:rsid w:val="3C50E72A"/>
    <w:rsid w:val="3C5F691F"/>
    <w:rsid w:val="3CB306C2"/>
    <w:rsid w:val="3D697542"/>
    <w:rsid w:val="3DBCE9F9"/>
    <w:rsid w:val="3E1AD158"/>
    <w:rsid w:val="3E47B148"/>
    <w:rsid w:val="3E981202"/>
    <w:rsid w:val="418F087A"/>
    <w:rsid w:val="4259E6FE"/>
    <w:rsid w:val="428CAB55"/>
    <w:rsid w:val="42CB8E7F"/>
    <w:rsid w:val="44E9E16A"/>
    <w:rsid w:val="455CBFEC"/>
    <w:rsid w:val="462A43F3"/>
    <w:rsid w:val="475023D4"/>
    <w:rsid w:val="47E1ADBA"/>
    <w:rsid w:val="492FAFF2"/>
    <w:rsid w:val="4A93F1A7"/>
    <w:rsid w:val="4AD59BF5"/>
    <w:rsid w:val="4AFDB516"/>
    <w:rsid w:val="4B8F13E9"/>
    <w:rsid w:val="4D611494"/>
    <w:rsid w:val="4D6BF258"/>
    <w:rsid w:val="4E155603"/>
    <w:rsid w:val="4F8B872D"/>
    <w:rsid w:val="4FA90D18"/>
    <w:rsid w:val="5023468F"/>
    <w:rsid w:val="52621044"/>
    <w:rsid w:val="528EC671"/>
    <w:rsid w:val="54888C54"/>
    <w:rsid w:val="54B858B4"/>
    <w:rsid w:val="56D6DAA9"/>
    <w:rsid w:val="57B41EFD"/>
    <w:rsid w:val="586A21F7"/>
    <w:rsid w:val="5920790A"/>
    <w:rsid w:val="5DB5ADC2"/>
    <w:rsid w:val="5DD68D31"/>
    <w:rsid w:val="5F517E23"/>
    <w:rsid w:val="5F7D42BC"/>
    <w:rsid w:val="5FA8FB7F"/>
    <w:rsid w:val="5FBF30E2"/>
    <w:rsid w:val="60C2E649"/>
    <w:rsid w:val="6144CBE0"/>
    <w:rsid w:val="61B40028"/>
    <w:rsid w:val="62891EE5"/>
    <w:rsid w:val="6290683E"/>
    <w:rsid w:val="62AEB403"/>
    <w:rsid w:val="638E9DF9"/>
    <w:rsid w:val="643D2395"/>
    <w:rsid w:val="6465857F"/>
    <w:rsid w:val="65F3AA07"/>
    <w:rsid w:val="66A54A8B"/>
    <w:rsid w:val="67090CFC"/>
    <w:rsid w:val="688A8F45"/>
    <w:rsid w:val="68A37E20"/>
    <w:rsid w:val="695A7CF5"/>
    <w:rsid w:val="6AE2D040"/>
    <w:rsid w:val="6BDA0A43"/>
    <w:rsid w:val="6E619D6C"/>
    <w:rsid w:val="6F141EE1"/>
    <w:rsid w:val="723498B9"/>
    <w:rsid w:val="724BBFA3"/>
    <w:rsid w:val="730AD49A"/>
    <w:rsid w:val="73DA0F9F"/>
    <w:rsid w:val="73E79004"/>
    <w:rsid w:val="73FA0D98"/>
    <w:rsid w:val="7559EC5A"/>
    <w:rsid w:val="75925129"/>
    <w:rsid w:val="7595DDF9"/>
    <w:rsid w:val="7596057A"/>
    <w:rsid w:val="75B8494F"/>
    <w:rsid w:val="76437D95"/>
    <w:rsid w:val="771F30C6"/>
    <w:rsid w:val="78CD7EBB"/>
    <w:rsid w:val="795668BB"/>
    <w:rsid w:val="7A009F69"/>
    <w:rsid w:val="7A11ADE7"/>
    <w:rsid w:val="7A18E344"/>
    <w:rsid w:val="7B91400E"/>
    <w:rsid w:val="7C4BA0CE"/>
    <w:rsid w:val="7C7BE43D"/>
    <w:rsid w:val="7D527EF0"/>
    <w:rsid w:val="7F17E219"/>
    <w:rsid w:val="7FC4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7D95"/>
  <w15:chartTrackingRefBased/>
  <w15:docId w15:val="{885A85BD-3131-4C4E-9BC8-1B966211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02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s://iu.zoom.us/s/84587146833?pwd=VEVHblFDcmJzQ3JCRWdzdEw2bWdlUT09" TargetMode="External" Id="rId5" /><Relationship Type="http://schemas.openxmlformats.org/officeDocument/2006/relationships/webSettings" Target="webSettings.xml" Id="rId4" /><Relationship Type="http://schemas.openxmlformats.org/officeDocument/2006/relationships/hyperlink" Target="https://iu.instructure.com/files/146264302/download?download_frd=1" TargetMode="External" Id="R242cdfbaa805433f" /><Relationship Type="http://schemas.openxmlformats.org/officeDocument/2006/relationships/hyperlink" Target="https://policies.iu.edu/policies/usss-02-military-withdrawal/index.html" TargetMode="External" Id="R19a8653592ca4625" /><Relationship Type="http://schemas.openxmlformats.org/officeDocument/2006/relationships/hyperlink" Target="https://policies.iu.edu/policies/usss-02-military-withdrawal/index.html" TargetMode="External" Id="R20ba26bf117247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Henshel, Diane S.</dc:creator>
  <keywords/>
  <dc:description/>
  <lastModifiedBy>Henshel, Diane S.</lastModifiedBy>
  <revision>34</revision>
  <dcterms:created xsi:type="dcterms:W3CDTF">2022-10-03T19:07:00.0000000Z</dcterms:created>
  <dcterms:modified xsi:type="dcterms:W3CDTF">2022-10-10T19:27:07.3086419Z</dcterms:modified>
</coreProperties>
</file>